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82" w:rsidRPr="00893489" w:rsidRDefault="00893489" w:rsidP="0089348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93489">
        <w:rPr>
          <w:rFonts w:ascii="Times New Roman" w:hAnsi="Times New Roman" w:cs="Times New Roman"/>
          <w:b/>
          <w:sz w:val="28"/>
        </w:rPr>
        <w:t>Žádost o prominutí zmeškání lhůty pro podání odvolání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EE3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Kontaktní a</w:t>
            </w:r>
            <w:r w:rsidR="00893489" w:rsidRPr="00893489">
              <w:rPr>
                <w:rFonts w:ascii="Times New Roman" w:hAnsi="Times New Roman" w:cs="Times New Roman"/>
                <w:b/>
              </w:rPr>
              <w:t>dresa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EFD" w:rsidRPr="00893489" w:rsidTr="00893489">
        <w:tc>
          <w:tcPr>
            <w:tcW w:w="2802" w:type="dxa"/>
          </w:tcPr>
          <w:p w:rsidR="00EE3EFD" w:rsidRDefault="00EE3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410" w:type="dxa"/>
          </w:tcPr>
          <w:p w:rsidR="00EE3EFD" w:rsidRPr="00893489" w:rsidRDefault="00EE3E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EE3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 studenta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Fakulta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Obor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Číslo jednací rozhodnutí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3489" w:rsidRPr="00893489" w:rsidRDefault="00893489">
      <w:pPr>
        <w:rPr>
          <w:rFonts w:ascii="Times New Roman" w:hAnsi="Times New Roman" w:cs="Times New Roman"/>
          <w:b/>
        </w:rPr>
      </w:pP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  <w:r w:rsidRPr="00422200">
        <w:rPr>
          <w:rFonts w:ascii="Times New Roman" w:hAnsi="Times New Roman" w:cs="Times New Roman"/>
          <w:sz w:val="24"/>
        </w:rPr>
        <w:t>O prominutí zmeškání lhůty pro podávání odvolání žádám z důvodu:</w:t>
      </w: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  <w:r w:rsidRPr="00422200">
        <w:rPr>
          <w:rFonts w:ascii="Times New Roman" w:hAnsi="Times New Roman" w:cs="Times New Roman"/>
          <w:sz w:val="24"/>
        </w:rPr>
        <w:t>Datum:</w:t>
      </w:r>
      <w:r w:rsidRPr="00422200">
        <w:rPr>
          <w:rFonts w:ascii="Times New Roman" w:hAnsi="Times New Roman" w:cs="Times New Roman"/>
          <w:sz w:val="24"/>
        </w:rPr>
        <w:tab/>
      </w:r>
    </w:p>
    <w:p w:rsidR="00893489" w:rsidRDefault="00893489" w:rsidP="00893489">
      <w:pPr>
        <w:rPr>
          <w:rFonts w:ascii="Times New Roman" w:hAnsi="Times New Roman" w:cs="Times New Roman"/>
          <w:sz w:val="24"/>
        </w:rPr>
      </w:pPr>
      <w:r w:rsidRPr="00422200">
        <w:rPr>
          <w:rFonts w:ascii="Times New Roman" w:hAnsi="Times New Roman" w:cs="Times New Roman"/>
          <w:sz w:val="24"/>
        </w:rPr>
        <w:t>Podpis žadatele:</w:t>
      </w:r>
    </w:p>
    <w:p w:rsidR="00422200" w:rsidRPr="00422200" w:rsidRDefault="00422200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422200" w:rsidP="00893489">
      <w:pPr>
        <w:rPr>
          <w:rFonts w:ascii="Times New Roman" w:hAnsi="Times New Roman" w:cs="Times New Roman"/>
          <w:b/>
          <w:u w:val="single"/>
        </w:rPr>
      </w:pPr>
      <w:r w:rsidRPr="00422200">
        <w:rPr>
          <w:rFonts w:ascii="Times New Roman" w:hAnsi="Times New Roman" w:cs="Times New Roman"/>
          <w:b/>
          <w:u w:val="single"/>
        </w:rPr>
        <w:t>S ŽÁDOSTÍ O PROMINUTÍ ZMEŠKÁNÍ LHŮTY JE NUTNÉ DOLOŽIT I ODVOLÁNÍ!</w:t>
      </w:r>
    </w:p>
    <w:p w:rsidR="00422200" w:rsidRDefault="00422200" w:rsidP="00893489">
      <w:pPr>
        <w:rPr>
          <w:rFonts w:ascii="Times New Roman" w:hAnsi="Times New Roman" w:cs="Times New Roman"/>
        </w:rPr>
      </w:pPr>
    </w:p>
    <w:p w:rsidR="00422200" w:rsidRDefault="00422200" w:rsidP="00893489">
      <w:pPr>
        <w:rPr>
          <w:rFonts w:ascii="Times New Roman" w:hAnsi="Times New Roman" w:cs="Times New Roman"/>
        </w:rPr>
      </w:pPr>
    </w:p>
    <w:p w:rsidR="00893489" w:rsidRDefault="00893489" w:rsidP="00893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Vybraná ustanovení § 41 zákona č. 500/2004 Sb., správního řádu:</w:t>
      </w:r>
    </w:p>
    <w:p w:rsidR="00893489" w:rsidRPr="00893489" w:rsidRDefault="00893489" w:rsidP="00893489">
      <w:pPr>
        <w:pStyle w:val="l4"/>
        <w:rPr>
          <w:sz w:val="20"/>
        </w:rPr>
      </w:pPr>
      <w:r w:rsidRPr="00893489">
        <w:rPr>
          <w:rStyle w:val="PromnnHTML"/>
          <w:sz w:val="20"/>
        </w:rPr>
        <w:t>(1)</w:t>
      </w:r>
      <w:r w:rsidRPr="00893489">
        <w:rPr>
          <w:sz w:val="20"/>
        </w:rPr>
        <w:t xml:space="preserve"> Navrácením v předešlý stav se rozumí prominutí zmeškání úkonu, který je třeba provést nejpozději při ústním jednání nebo v určité lhůtě, nebo povolení zpětvzetí nebo změny obsahu podání, kterou by jinak nebylo možno učinit.</w:t>
      </w:r>
    </w:p>
    <w:p w:rsidR="00893489" w:rsidRPr="00893489" w:rsidRDefault="00893489" w:rsidP="00893489">
      <w:pPr>
        <w:pStyle w:val="l4"/>
        <w:rPr>
          <w:sz w:val="20"/>
        </w:rPr>
      </w:pPr>
      <w:r w:rsidRPr="00893489">
        <w:rPr>
          <w:rStyle w:val="PromnnHTML"/>
          <w:sz w:val="20"/>
        </w:rPr>
        <w:t>(2)</w:t>
      </w:r>
      <w:r w:rsidRPr="00893489">
        <w:rPr>
          <w:sz w:val="20"/>
        </w:rPr>
        <w:t xml:space="preserve"> Požádat o prominutí zmeškání úkonu účastník může do 15 dnů ode dne, kdy pominula překážka, která podateli bránila úkon učinit. S požádáním je třeba spojit zmeškaný úkon, jinak se jím správní orgán nezabývá. Zmeškání úkonu nelze prominout, jestliže ode dne, kdy měl být úkon učiněn, uplynul jeden rok.</w:t>
      </w:r>
    </w:p>
    <w:p w:rsidR="00893489" w:rsidRPr="00422200" w:rsidRDefault="00893489" w:rsidP="00422200">
      <w:pPr>
        <w:pStyle w:val="l4"/>
        <w:rPr>
          <w:sz w:val="20"/>
        </w:rPr>
      </w:pPr>
      <w:r w:rsidRPr="00893489">
        <w:rPr>
          <w:rStyle w:val="PromnnHTML"/>
          <w:sz w:val="20"/>
        </w:rPr>
        <w:t>(3)</w:t>
      </w:r>
      <w:r w:rsidRPr="00893489">
        <w:rPr>
          <w:sz w:val="20"/>
        </w:rPr>
        <w:t xml:space="preserve"> Správní orgán může požádání o prominutí zmeškání úkonu přiznat odkladný účinek, pokud podateli hrozí vážná újma a nevznikne-li přiznáním odkladného účinku újma způsobená dotčením práv nabytých v dobré víře nebo dotčením veřejného zájmu převyšující újmu hrozící podateli.</w:t>
      </w:r>
    </w:p>
    <w:sectPr w:rsidR="00893489" w:rsidRPr="0042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89"/>
    <w:rsid w:val="00422200"/>
    <w:rsid w:val="00553682"/>
    <w:rsid w:val="00893489"/>
    <w:rsid w:val="00B17884"/>
    <w:rsid w:val="00E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08800-D024-4B83-90BB-D712BE08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">
    <w:name w:val="l4"/>
    <w:basedOn w:val="Normln"/>
    <w:rsid w:val="0089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93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Diana</dc:creator>
  <cp:keywords/>
  <dc:description/>
  <cp:lastModifiedBy>Ondřej Dvořák</cp:lastModifiedBy>
  <cp:revision>2</cp:revision>
  <dcterms:created xsi:type="dcterms:W3CDTF">2020-04-06T14:40:00Z</dcterms:created>
  <dcterms:modified xsi:type="dcterms:W3CDTF">2020-04-06T14:40:00Z</dcterms:modified>
</cp:coreProperties>
</file>